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7B622" w14:textId="4F136858" w:rsidR="005D20D3" w:rsidRPr="00544810"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9B158B" w:rsidRPr="009B158B">
        <w:rPr>
          <w:rFonts w:asciiTheme="minorHAnsi" w:eastAsiaTheme="minorEastAsia" w:hAnsiTheme="minorHAnsi" w:cstheme="minorHAnsi"/>
          <w:bCs/>
          <w:noProof w:val="0"/>
          <w:sz w:val="24"/>
          <w:szCs w:val="24"/>
          <w:lang w:eastAsia="zh-CN"/>
        </w:rPr>
        <w:t>R4-2307616</w:t>
      </w:r>
    </w:p>
    <w:p w14:paraId="4FE32BB0" w14:textId="77777777" w:rsidR="005D20D3"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0EDBED9C" w14:textId="2665E2BF"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31</w:t>
      </w:r>
      <w:r w:rsidR="00AB735E" w:rsidRPr="00AB735E">
        <w:rPr>
          <w:rFonts w:asciiTheme="minorHAnsi" w:eastAsiaTheme="minorEastAsia" w:hAnsiTheme="minorHAnsi" w:cstheme="minorHAnsi"/>
          <w:bCs/>
          <w:noProof w:val="0"/>
          <w:sz w:val="24"/>
          <w:szCs w:val="24"/>
          <w:lang w:eastAsia="zh-CN"/>
        </w:rPr>
        <w:t>.3</w:t>
      </w:r>
      <w:r w:rsidR="000758B4">
        <w:rPr>
          <w:rFonts w:asciiTheme="minorHAnsi" w:eastAsiaTheme="minorEastAsia" w:hAnsiTheme="minorHAnsi" w:cstheme="minorHAnsi"/>
          <w:bCs/>
          <w:noProof w:val="0"/>
          <w:sz w:val="24"/>
          <w:szCs w:val="24"/>
          <w:lang w:eastAsia="zh-CN"/>
        </w:rPr>
        <w:t>.</w:t>
      </w:r>
      <w:r w:rsidR="004E1358">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F52A67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w:t>
      </w:r>
      <w:bookmarkStart w:id="1" w:name="_Hlk134876289"/>
      <w:r w:rsidR="004E1358" w:rsidRPr="004E1358">
        <w:rPr>
          <w:rFonts w:asciiTheme="minorHAnsi" w:eastAsiaTheme="minorEastAsia" w:hAnsiTheme="minorHAnsi" w:cstheme="minorHAnsi"/>
          <w:bCs/>
          <w:noProof w:val="0"/>
          <w:sz w:val="24"/>
          <w:szCs w:val="24"/>
          <w:lang w:eastAsia="zh-CN"/>
        </w:rPr>
        <w:t>LTE SL and NR SL coexistence</w:t>
      </w:r>
      <w:bookmarkEnd w:id="1"/>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4F3668EF"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RAN4#106bis-e had some discussion </w:t>
      </w:r>
      <w:r w:rsidRPr="004523DF">
        <w:rPr>
          <w:rFonts w:asciiTheme="minorHAnsi" w:eastAsiaTheme="minorEastAsia" w:hAnsiTheme="minorHAnsi" w:cstheme="minorBidi"/>
          <w:color w:val="auto"/>
          <w:sz w:val="21"/>
          <w:szCs w:val="21"/>
        </w:rPr>
        <w:t xml:space="preserve">on the RRM requirements for </w:t>
      </w:r>
      <w:r w:rsidR="004E1358" w:rsidRPr="004E1358">
        <w:rPr>
          <w:rFonts w:asciiTheme="minorHAnsi" w:eastAsiaTheme="minorEastAsia" w:hAnsiTheme="minorHAnsi" w:cstheme="minorBidi"/>
          <w:color w:val="auto"/>
          <w:sz w:val="21"/>
          <w:szCs w:val="21"/>
        </w:rPr>
        <w:t>LTE SL and NR SL coexistence</w:t>
      </w:r>
      <w:r w:rsidR="00F2216D">
        <w:rPr>
          <w:rFonts w:asciiTheme="minorHAnsi" w:eastAsiaTheme="minorEastAsia" w:hAnsiTheme="minorHAnsi" w:cstheme="minorBidi"/>
          <w:color w:val="auto"/>
          <w:sz w:val="21"/>
          <w:szCs w:val="21"/>
        </w:rPr>
        <w:t xml:space="preserve"> [1]</w:t>
      </w:r>
      <w:r w:rsidR="00FE49AA">
        <w:rPr>
          <w:rFonts w:asciiTheme="minorHAnsi" w:eastAsiaTheme="minorEastAsia" w:hAnsiTheme="minorHAnsi" w:cstheme="minorBidi"/>
          <w:color w:val="auto"/>
          <w:sz w:val="21"/>
          <w:szCs w:val="21"/>
        </w:rPr>
        <w:t>.</w:t>
      </w:r>
      <w:r w:rsidR="004E1358">
        <w:rPr>
          <w:rFonts w:asciiTheme="minorHAnsi" w:eastAsiaTheme="minorEastAsia" w:hAnsiTheme="minorHAnsi" w:cstheme="minorBidi"/>
          <w:color w:val="auto"/>
          <w:sz w:val="21"/>
          <w:szCs w:val="21"/>
        </w:rPr>
        <w:t xml:space="preserve"> There </w:t>
      </w:r>
      <w:r w:rsidR="001407CF">
        <w:rPr>
          <w:rFonts w:asciiTheme="minorHAnsi" w:eastAsiaTheme="minorEastAsia" w:hAnsiTheme="minorHAnsi" w:cstheme="minorBidi"/>
          <w:color w:val="auto"/>
          <w:sz w:val="21"/>
          <w:szCs w:val="21"/>
        </w:rPr>
        <w:t>is</w:t>
      </w:r>
      <w:r w:rsidR="004E1358">
        <w:rPr>
          <w:rFonts w:asciiTheme="minorHAnsi" w:eastAsiaTheme="minorEastAsia" w:hAnsiTheme="minorHAnsi" w:cstheme="minorBidi"/>
          <w:color w:val="auto"/>
          <w:sz w:val="21"/>
          <w:szCs w:val="21"/>
        </w:rPr>
        <w:t xml:space="preserve"> still some open issue</w:t>
      </w:r>
      <w:r w:rsidR="00F2216D">
        <w:rPr>
          <w:rFonts w:asciiTheme="minorHAnsi" w:eastAsiaTheme="minorEastAsia" w:hAnsiTheme="minorHAnsi" w:cstheme="minorBidi"/>
          <w:color w:val="auto"/>
          <w:sz w:val="21"/>
          <w:szCs w:val="21"/>
          <w:lang w:eastAsia="zh-CN"/>
        </w:rPr>
        <w:t>.</w:t>
      </w:r>
      <w:r w:rsidR="004E1358">
        <w:rPr>
          <w:rFonts w:asciiTheme="minorHAnsi" w:eastAsiaTheme="minorEastAsia" w:hAnsiTheme="minorHAnsi" w:cstheme="minorBidi"/>
          <w:color w:val="auto"/>
          <w:sz w:val="21"/>
          <w:szCs w:val="21"/>
          <w:lang w:eastAsia="zh-CN"/>
        </w:rPr>
        <w:t xml:space="preserve"> In this contribution, we will share our views on the remaining issue.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26E2AA5" w14:textId="54F9DFE4" w:rsidR="006C1B3C" w:rsidRDefault="006C1B3C" w:rsidP="00A5653A">
      <w:pPr>
        <w:rPr>
          <w:szCs w:val="21"/>
        </w:rPr>
      </w:pPr>
      <w:r>
        <w:rPr>
          <w:rFonts w:hint="eastAsia"/>
          <w:szCs w:val="21"/>
        </w:rPr>
        <w:t>I</w:t>
      </w:r>
      <w:r>
        <w:rPr>
          <w:szCs w:val="21"/>
        </w:rPr>
        <w:t xml:space="preserve">n last meeting, RAN4 had some discussion on </w:t>
      </w:r>
      <w:r w:rsidR="005D2941">
        <w:rPr>
          <w:szCs w:val="21"/>
        </w:rPr>
        <w:t>whether t</w:t>
      </w:r>
      <w:r w:rsidR="00F7115E">
        <w:rPr>
          <w:szCs w:val="21"/>
        </w:rPr>
        <w:t>he existing RRM</w:t>
      </w:r>
      <w:r w:rsidR="005D2941">
        <w:rPr>
          <w:szCs w:val="21"/>
        </w:rPr>
        <w:t xml:space="preserve"> requirements </w:t>
      </w:r>
      <w:r w:rsidR="00F7115E">
        <w:rPr>
          <w:szCs w:val="21"/>
        </w:rPr>
        <w:t xml:space="preserve">can be reused for </w:t>
      </w:r>
      <w:r w:rsidR="00F7115E" w:rsidRPr="00F7115E">
        <w:rPr>
          <w:szCs w:val="21"/>
        </w:rPr>
        <w:t>LTE SL and NR SL coexistence</w:t>
      </w:r>
      <w:r w:rsidR="00F7115E">
        <w:rPr>
          <w:szCs w:val="21"/>
        </w:rPr>
        <w:t>.</w:t>
      </w:r>
    </w:p>
    <w:tbl>
      <w:tblPr>
        <w:tblStyle w:val="af8"/>
        <w:tblW w:w="0" w:type="auto"/>
        <w:tblLook w:val="04A0" w:firstRow="1" w:lastRow="0" w:firstColumn="1" w:lastColumn="0" w:noHBand="0" w:noVBand="1"/>
      </w:tblPr>
      <w:tblGrid>
        <w:gridCol w:w="9629"/>
      </w:tblGrid>
      <w:tr w:rsidR="006C1B3C" w14:paraId="71D2B1E2" w14:textId="77777777" w:rsidTr="006C1B3C">
        <w:tc>
          <w:tcPr>
            <w:tcW w:w="9629" w:type="dxa"/>
          </w:tcPr>
          <w:p w14:paraId="0F3C015B" w14:textId="77777777" w:rsidR="00F7115E" w:rsidRPr="00F7115E" w:rsidRDefault="00F7115E" w:rsidP="00F7115E">
            <w:pPr>
              <w:pStyle w:val="4"/>
              <w:ind w:left="864" w:hanging="864"/>
              <w:jc w:val="both"/>
              <w:rPr>
                <w:b/>
                <w:sz w:val="18"/>
                <w:szCs w:val="13"/>
                <w:u w:val="single"/>
              </w:rPr>
            </w:pPr>
            <w:r w:rsidRPr="00F7115E">
              <w:rPr>
                <w:b/>
                <w:sz w:val="18"/>
                <w:szCs w:val="13"/>
                <w:u w:val="single"/>
              </w:rPr>
              <w:t>Issue 2-1-2: Whether to reuse existing RRM requirements for Co-channel coexistence for LTE SL and NR SL</w:t>
            </w:r>
          </w:p>
          <w:p w14:paraId="0C0CBFD3" w14:textId="77777777" w:rsidR="00F7115E" w:rsidRPr="00F7115E" w:rsidRDefault="00F7115E" w:rsidP="00F7115E">
            <w:pPr>
              <w:rPr>
                <w:i/>
                <w:color w:val="0070C0"/>
                <w:sz w:val="18"/>
                <w:szCs w:val="20"/>
              </w:rPr>
            </w:pPr>
            <w:r w:rsidRPr="00F7115E">
              <w:rPr>
                <w:rFonts w:hint="eastAsia"/>
                <w:i/>
                <w:color w:val="0070C0"/>
                <w:sz w:val="18"/>
                <w:szCs w:val="20"/>
              </w:rPr>
              <w:t>Candidate options:</w:t>
            </w:r>
          </w:p>
          <w:p w14:paraId="6027CB3B" w14:textId="77777777" w:rsidR="00F7115E" w:rsidRPr="00F7115E" w:rsidRDefault="00F7115E" w:rsidP="00F7115E">
            <w:pPr>
              <w:pStyle w:val="af6"/>
              <w:widowControl/>
              <w:numPr>
                <w:ilvl w:val="0"/>
                <w:numId w:val="34"/>
              </w:numPr>
              <w:overflowPunct w:val="0"/>
              <w:autoSpaceDE w:val="0"/>
              <w:autoSpaceDN w:val="0"/>
              <w:adjustRightInd w:val="0"/>
              <w:spacing w:after="180"/>
              <w:contextualSpacing w:val="0"/>
              <w:jc w:val="left"/>
              <w:textAlignment w:val="baseline"/>
              <w:rPr>
                <w:bCs/>
                <w:iCs/>
                <w:sz w:val="18"/>
                <w:szCs w:val="20"/>
                <w:lang w:eastAsia="ko-KR"/>
              </w:rPr>
            </w:pPr>
            <w:r w:rsidRPr="00F7115E">
              <w:rPr>
                <w:bCs/>
                <w:iCs/>
                <w:sz w:val="18"/>
                <w:szCs w:val="20"/>
                <w:lang w:eastAsia="ko-KR"/>
              </w:rPr>
              <w:t xml:space="preserve">Option 1: </w:t>
            </w:r>
            <w:r w:rsidRPr="00F7115E">
              <w:rPr>
                <w:rFonts w:hint="eastAsia"/>
                <w:bCs/>
                <w:iCs/>
                <w:sz w:val="18"/>
                <w:szCs w:val="20"/>
                <w:lang w:eastAsia="ko-KR"/>
              </w:rPr>
              <w:t xml:space="preserve">The existing RRM requirements are applicable for the co-channel coexistence solution of TDM-based </w:t>
            </w:r>
            <w:r w:rsidRPr="00F7115E">
              <w:rPr>
                <w:bCs/>
                <w:iCs/>
                <w:sz w:val="18"/>
                <w:szCs w:val="20"/>
                <w:lang w:eastAsia="ko-KR"/>
              </w:rPr>
              <w:t>semi-static resource pool partitioning</w:t>
            </w:r>
          </w:p>
          <w:p w14:paraId="3DDA1133" w14:textId="089E02F6" w:rsidR="006C1B3C" w:rsidRPr="00F7115E" w:rsidRDefault="00F7115E" w:rsidP="00F7115E">
            <w:pPr>
              <w:pStyle w:val="af6"/>
              <w:widowControl/>
              <w:numPr>
                <w:ilvl w:val="0"/>
                <w:numId w:val="34"/>
              </w:numPr>
              <w:overflowPunct w:val="0"/>
              <w:autoSpaceDE w:val="0"/>
              <w:autoSpaceDN w:val="0"/>
              <w:adjustRightInd w:val="0"/>
              <w:spacing w:after="180"/>
              <w:contextualSpacing w:val="0"/>
              <w:jc w:val="left"/>
              <w:textAlignment w:val="baseline"/>
              <w:rPr>
                <w:bCs/>
                <w:iCs/>
                <w:lang w:eastAsia="ko-KR"/>
              </w:rPr>
            </w:pPr>
            <w:r w:rsidRPr="00F7115E">
              <w:rPr>
                <w:bCs/>
                <w:iCs/>
                <w:sz w:val="18"/>
                <w:szCs w:val="20"/>
                <w:lang w:eastAsia="ko-KR"/>
              </w:rPr>
              <w:t>Option 2: Wait for RAN1’s conclusion on co-channel coexistence solutions, e.g., for dynamic resource pool.</w:t>
            </w:r>
          </w:p>
        </w:tc>
      </w:tr>
    </w:tbl>
    <w:p w14:paraId="1509B0EB" w14:textId="362271CD" w:rsidR="00AD76F6" w:rsidRPr="00AD76F6" w:rsidRDefault="00AD76F6" w:rsidP="001E54E8">
      <w:pPr>
        <w:spacing w:beforeLines="50" w:before="120" w:afterLines="50" w:after="120"/>
        <w:rPr>
          <w:szCs w:val="21"/>
        </w:rPr>
      </w:pPr>
      <w:r>
        <w:rPr>
          <w:szCs w:val="21"/>
        </w:rPr>
        <w:t xml:space="preserve">In </w:t>
      </w:r>
      <w:r w:rsidR="001E54E8">
        <w:rPr>
          <w:rFonts w:hint="eastAsia"/>
          <w:szCs w:val="21"/>
        </w:rPr>
        <w:t>R</w:t>
      </w:r>
      <w:r w:rsidR="001E54E8">
        <w:rPr>
          <w:szCs w:val="21"/>
        </w:rPr>
        <w:t>18</w:t>
      </w:r>
      <w:r>
        <w:rPr>
          <w:szCs w:val="21"/>
        </w:rPr>
        <w:t xml:space="preserve"> </w:t>
      </w:r>
      <w:r w:rsidR="001E54E8" w:rsidRPr="00AD76F6">
        <w:rPr>
          <w:szCs w:val="21"/>
        </w:rPr>
        <w:t>semi-static resource pool partitioning and dynamic resource sharing</w:t>
      </w:r>
      <w:r w:rsidRPr="00AD76F6">
        <w:rPr>
          <w:szCs w:val="21"/>
        </w:rPr>
        <w:t xml:space="preserve"> between LTE SL and NR SL are supported.</w:t>
      </w:r>
      <w:r>
        <w:rPr>
          <w:rFonts w:hint="eastAsia"/>
          <w:szCs w:val="21"/>
        </w:rPr>
        <w:t xml:space="preserve"> </w:t>
      </w:r>
      <w:r w:rsidRPr="00AD76F6">
        <w:rPr>
          <w:szCs w:val="21"/>
        </w:rPr>
        <w:t>Since LTE and NR SL UEs have different resource pools in semi-static resource sharing, R16/17 RAN4 requirements apply to semi-static resource sharing.</w:t>
      </w:r>
      <w:r>
        <w:rPr>
          <w:szCs w:val="21"/>
        </w:rPr>
        <w:t xml:space="preserve"> For dynamic resource sharing, RAN1 assumed device type A</w:t>
      </w:r>
      <w:r w:rsidR="00E2374B">
        <w:rPr>
          <w:szCs w:val="21"/>
        </w:rPr>
        <w:t xml:space="preserve"> (</w:t>
      </w:r>
      <w:r w:rsidRPr="00AD76F6">
        <w:rPr>
          <w:szCs w:val="21"/>
        </w:rPr>
        <w:t>Device type A contains both LTE SL and NR SL modules</w:t>
      </w:r>
      <w:r w:rsidR="00E2374B">
        <w:rPr>
          <w:szCs w:val="21"/>
        </w:rPr>
        <w:t>)</w:t>
      </w:r>
      <w:r w:rsidR="0084145A">
        <w:rPr>
          <w:szCs w:val="21"/>
        </w:rPr>
        <w:t xml:space="preserve">, and </w:t>
      </w:r>
      <w:r w:rsidR="0084145A" w:rsidRPr="0084145A">
        <w:rPr>
          <w:szCs w:val="21"/>
        </w:rPr>
        <w:t>the NR SL module uses the information shared by the LTE SL module to the NR SL module to determine the set of resources for its own transmission</w:t>
      </w:r>
      <w:r w:rsidR="0084145A">
        <w:rPr>
          <w:szCs w:val="21"/>
        </w:rPr>
        <w:t xml:space="preserve"> as shown in RAN1 working assumption and agreement. We see no impact on NR SL RRM core part requirements yet. </w:t>
      </w:r>
      <w:r w:rsidR="00F7115E">
        <w:rPr>
          <w:szCs w:val="21"/>
        </w:rPr>
        <w:t xml:space="preserve">It is also fine to us to wait for more progress in RAN1 to make the final conclusion in RAN4. </w:t>
      </w:r>
      <w:r w:rsidR="0084145A">
        <w:rPr>
          <w:szCs w:val="21"/>
        </w:rPr>
        <w:t xml:space="preserve">As RAN1 is designing NR SL resource (re)selection procedure for dynamic resource sharing, RAN4 may need to specify new test cases on </w:t>
      </w:r>
      <w:r w:rsidR="00B00BDA">
        <w:rPr>
          <w:szCs w:val="21"/>
        </w:rPr>
        <w:t>NR SL resource (re)selection procedure for dynamic resource sharing.</w:t>
      </w:r>
    </w:p>
    <w:tbl>
      <w:tblPr>
        <w:tblStyle w:val="af8"/>
        <w:tblW w:w="0" w:type="auto"/>
        <w:tblLook w:val="04A0" w:firstRow="1" w:lastRow="0" w:firstColumn="1" w:lastColumn="0" w:noHBand="0" w:noVBand="1"/>
      </w:tblPr>
      <w:tblGrid>
        <w:gridCol w:w="9629"/>
      </w:tblGrid>
      <w:tr w:rsidR="00AD76F6" w14:paraId="1294D013" w14:textId="77777777" w:rsidTr="00AD76F6">
        <w:tc>
          <w:tcPr>
            <w:tcW w:w="9629" w:type="dxa"/>
          </w:tcPr>
          <w:p w14:paraId="60C2A6D2" w14:textId="26869EDB" w:rsidR="00E2374B" w:rsidRPr="00E2374B" w:rsidRDefault="00E2374B" w:rsidP="00AD76F6">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AN1#110</w:t>
            </w:r>
          </w:p>
          <w:p w14:paraId="1C3BF727" w14:textId="786F9AF7" w:rsidR="00AD76F6" w:rsidRPr="00E2374B" w:rsidRDefault="00AD76F6" w:rsidP="00AD76F6">
            <w:pPr>
              <w:widowControl/>
              <w:jc w:val="left"/>
              <w:rPr>
                <w:rFonts w:ascii="Times" w:eastAsia="宋体" w:hAnsi="Times" w:cs="Times"/>
                <w:kern w:val="0"/>
                <w:sz w:val="18"/>
                <w:szCs w:val="18"/>
                <w:lang w:val="en-GB"/>
              </w:rPr>
            </w:pPr>
            <w:r w:rsidRPr="00E2374B">
              <w:rPr>
                <w:rFonts w:ascii="Times" w:eastAsia="宋体" w:hAnsi="Times" w:cs="Times"/>
                <w:kern w:val="0"/>
                <w:sz w:val="18"/>
                <w:szCs w:val="18"/>
                <w:highlight w:val="darkYellow"/>
                <w:lang w:val="en-GB"/>
              </w:rPr>
              <w:t>Working assumption</w:t>
            </w:r>
          </w:p>
          <w:p w14:paraId="43854179" w14:textId="492ADBE4" w:rsidR="00AD76F6" w:rsidRDefault="00AD76F6" w:rsidP="00AD76F6">
            <w:pPr>
              <w:widowControl/>
              <w:jc w:val="left"/>
              <w:rPr>
                <w:rFonts w:ascii="Times New Roman" w:eastAsia="宋体" w:hAnsi="Times New Roman" w:cs="Times New Roman"/>
                <w:kern w:val="0"/>
                <w:sz w:val="18"/>
                <w:szCs w:val="18"/>
                <w:lang w:val="en-GB"/>
              </w:rPr>
            </w:pPr>
            <w:r w:rsidRPr="00AD76F6">
              <w:rPr>
                <w:rFonts w:ascii="Times New Roman" w:eastAsia="宋体" w:hAnsi="Times New Roman" w:cs="Times New Roman"/>
                <w:kern w:val="0"/>
                <w:sz w:val="18"/>
                <w:szCs w:val="18"/>
                <w:lang w:val="en-GB"/>
              </w:rPr>
              <w:t>Co-channel coexistence between LTE SL and NR SL is supported for device type A. Device type A contains both LTE SL and NR SL modules. For device type A, the NR SL module may use the sensing and resource reservation information shared by the LTE SL module.</w:t>
            </w:r>
          </w:p>
          <w:p w14:paraId="0C428596" w14:textId="77777777" w:rsidR="0084145A" w:rsidRPr="00AD76F6" w:rsidRDefault="0084145A" w:rsidP="00AD76F6">
            <w:pPr>
              <w:widowControl/>
              <w:jc w:val="left"/>
              <w:rPr>
                <w:rFonts w:ascii="Times New Roman" w:eastAsia="宋体" w:hAnsi="Times New Roman" w:cs="Times New Roman"/>
                <w:kern w:val="0"/>
                <w:sz w:val="18"/>
                <w:szCs w:val="18"/>
                <w:lang w:val="en-GB"/>
              </w:rPr>
            </w:pPr>
          </w:p>
          <w:p w14:paraId="3A708C65" w14:textId="27D785CB" w:rsidR="00AD76F6" w:rsidRPr="0084145A" w:rsidRDefault="0084145A" w:rsidP="0084145A">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w:t>
            </w:r>
            <w:r>
              <w:rPr>
                <w:rFonts w:ascii="Times New Roman" w:eastAsia="宋体" w:hAnsi="Times New Roman" w:cs="Times New Roman"/>
                <w:b/>
                <w:bCs/>
                <w:i/>
                <w:iCs/>
                <w:kern w:val="0"/>
                <w:sz w:val="18"/>
                <w:szCs w:val="18"/>
                <w:lang w:val="en-GB"/>
              </w:rPr>
              <w:t>0bis</w:t>
            </w:r>
          </w:p>
          <w:p w14:paraId="5C9A8050" w14:textId="77777777" w:rsidR="0084145A" w:rsidRPr="0084145A" w:rsidRDefault="0084145A" w:rsidP="0084145A">
            <w:pPr>
              <w:widowControl/>
              <w:jc w:val="left"/>
              <w:rPr>
                <w:rFonts w:ascii="Times" w:eastAsia="宋体" w:hAnsi="Times" w:cs="Times"/>
                <w:kern w:val="0"/>
                <w:sz w:val="18"/>
                <w:szCs w:val="18"/>
              </w:rPr>
            </w:pPr>
            <w:r w:rsidRPr="0084145A">
              <w:rPr>
                <w:rFonts w:ascii="Times" w:eastAsia="宋体" w:hAnsi="Times" w:cs="Times"/>
                <w:kern w:val="0"/>
                <w:sz w:val="18"/>
                <w:szCs w:val="18"/>
                <w:highlight w:val="green"/>
              </w:rPr>
              <w:t>Agreement</w:t>
            </w:r>
          </w:p>
          <w:p w14:paraId="2E3969B6" w14:textId="77777777" w:rsidR="0084145A" w:rsidRPr="0084145A" w:rsidRDefault="0084145A" w:rsidP="0084145A">
            <w:pPr>
              <w:widowControl/>
              <w:jc w:val="left"/>
              <w:rPr>
                <w:rFonts w:ascii="Times" w:eastAsia="宋体" w:hAnsi="Times" w:cs="Times"/>
                <w:kern w:val="0"/>
                <w:sz w:val="18"/>
                <w:szCs w:val="18"/>
                <w:lang w:val="en-GB"/>
              </w:rPr>
            </w:pPr>
            <w:r w:rsidRPr="0084145A">
              <w:rPr>
                <w:rFonts w:ascii="Times" w:eastAsia="宋体" w:hAnsi="Times" w:cs="Times"/>
                <w:kern w:val="0"/>
                <w:sz w:val="18"/>
                <w:szCs w:val="18"/>
                <w:lang w:val="en-GB"/>
              </w:rPr>
              <w:t>For dynamic resource pool sharing, the NR SL module uses the information shared by the LTE SL module to the NR SL module to determine the set of resources for its own transmission.</w:t>
            </w:r>
          </w:p>
          <w:p w14:paraId="146C1CAD" w14:textId="41615A38" w:rsidR="0084145A" w:rsidRPr="0084145A" w:rsidRDefault="0084145A" w:rsidP="0084145A">
            <w:pPr>
              <w:pStyle w:val="af6"/>
              <w:widowControl/>
              <w:numPr>
                <w:ilvl w:val="0"/>
                <w:numId w:val="29"/>
              </w:numPr>
              <w:spacing w:after="180"/>
              <w:jc w:val="left"/>
              <w:textAlignment w:val="center"/>
              <w:rPr>
                <w:rFonts w:ascii="Calibri" w:eastAsia="宋体" w:hAnsi="Calibri" w:cs="Calibri"/>
                <w:kern w:val="0"/>
                <w:szCs w:val="21"/>
                <w:lang w:val="en-GB"/>
              </w:rPr>
            </w:pPr>
            <w:r w:rsidRPr="0084145A">
              <w:rPr>
                <w:rFonts w:ascii="Times New Roman" w:eastAsia="宋体" w:hAnsi="Times New Roman" w:cs="Times New Roman"/>
                <w:kern w:val="0"/>
                <w:sz w:val="18"/>
                <w:szCs w:val="18"/>
                <w:lang w:val="en-GB"/>
              </w:rPr>
              <w:t>FFS: which layer carries out the resource determination: PHY layer or MAC layer.</w:t>
            </w:r>
          </w:p>
        </w:tc>
      </w:tr>
    </w:tbl>
    <w:p w14:paraId="21C4BB19" w14:textId="5E3ED836" w:rsidR="001C6046" w:rsidRDefault="001C6046" w:rsidP="001E54E8">
      <w:pPr>
        <w:spacing w:beforeLines="50" w:before="120" w:afterLines="50" w:after="120"/>
        <w:rPr>
          <w:rFonts w:cstheme="minorHAnsi"/>
          <w:b/>
          <w:szCs w:val="21"/>
        </w:rPr>
      </w:pPr>
      <w:r>
        <w:rPr>
          <w:rFonts w:cstheme="minorHAnsi"/>
          <w:b/>
          <w:szCs w:val="21"/>
        </w:rPr>
        <w:t xml:space="preserve">Proposal 1: </w:t>
      </w:r>
      <w:r w:rsidRPr="001C6046">
        <w:rPr>
          <w:rFonts w:cstheme="minorHAnsi"/>
          <w:b/>
          <w:szCs w:val="21"/>
        </w:rPr>
        <w:t>The existing RRM requirements are applicable for the co-channel coexistence solution of TDM-based semi-static resource pool partitioning</w:t>
      </w:r>
    </w:p>
    <w:p w14:paraId="2660A412" w14:textId="6CC7F2CB" w:rsidR="001E54E8" w:rsidRDefault="001E54E8" w:rsidP="001E54E8">
      <w:pPr>
        <w:spacing w:beforeLines="50" w:before="120" w:afterLines="50" w:after="120"/>
        <w:rPr>
          <w:rFonts w:cstheme="minorHAnsi"/>
          <w:b/>
          <w:szCs w:val="21"/>
          <w:lang w:eastAsia="x-none"/>
        </w:rPr>
      </w:pPr>
      <w:r>
        <w:rPr>
          <w:rFonts w:cstheme="minorHAnsi"/>
          <w:b/>
          <w:szCs w:val="21"/>
          <w:lang w:eastAsia="x-none"/>
        </w:rPr>
        <w:t>Proposal</w:t>
      </w:r>
      <w:r w:rsidR="00B00BDA">
        <w:rPr>
          <w:rFonts w:cstheme="minorHAnsi"/>
          <w:b/>
          <w:szCs w:val="21"/>
          <w:lang w:eastAsia="x-none"/>
        </w:rPr>
        <w:t xml:space="preserve"> 2</w:t>
      </w:r>
      <w:r>
        <w:rPr>
          <w:rFonts w:cstheme="minorHAnsi"/>
          <w:b/>
          <w:szCs w:val="21"/>
          <w:lang w:eastAsia="x-none"/>
        </w:rPr>
        <w:t xml:space="preserve">: </w:t>
      </w:r>
      <w:r w:rsidR="00B00BDA" w:rsidRPr="00B00BDA">
        <w:rPr>
          <w:rFonts w:cstheme="minorHAnsi"/>
          <w:b/>
          <w:szCs w:val="21"/>
          <w:lang w:eastAsia="x-none"/>
        </w:rPr>
        <w:t>LTE SL and NR SL coexistence</w:t>
      </w:r>
      <w:r w:rsidR="00B00BDA" w:rsidRPr="00B00BDA">
        <w:rPr>
          <w:rFonts w:cstheme="minorHAnsi" w:hint="eastAsia"/>
          <w:b/>
          <w:szCs w:val="21"/>
          <w:lang w:eastAsia="x-none"/>
        </w:rPr>
        <w:t xml:space="preserve"> </w:t>
      </w:r>
      <w:r w:rsidR="00B00BDA">
        <w:rPr>
          <w:rFonts w:cstheme="minorHAnsi"/>
          <w:b/>
          <w:szCs w:val="21"/>
          <w:lang w:eastAsia="x-none"/>
        </w:rPr>
        <w:t>has n</w:t>
      </w:r>
      <w:r w:rsidRPr="001E54E8">
        <w:rPr>
          <w:rFonts w:cstheme="minorHAnsi"/>
          <w:b/>
          <w:szCs w:val="21"/>
          <w:lang w:eastAsia="x-none"/>
        </w:rPr>
        <w:t>o impact on RRM</w:t>
      </w:r>
      <w:r w:rsidR="00B00BDA">
        <w:rPr>
          <w:rFonts w:cstheme="minorHAnsi"/>
          <w:b/>
          <w:szCs w:val="21"/>
          <w:lang w:eastAsia="x-none"/>
        </w:rPr>
        <w:t xml:space="preserve"> core part</w:t>
      </w:r>
      <w:r w:rsidRPr="001E54E8">
        <w:rPr>
          <w:rFonts w:cstheme="minorHAnsi"/>
          <w:b/>
          <w:szCs w:val="21"/>
          <w:lang w:eastAsia="x-none"/>
        </w:rPr>
        <w:t xml:space="preserve"> requirements</w:t>
      </w:r>
      <w:r w:rsidR="00B00BDA">
        <w:rPr>
          <w:rFonts w:cstheme="minorHAnsi"/>
          <w:b/>
          <w:szCs w:val="21"/>
          <w:lang w:eastAsia="x-none"/>
        </w:rPr>
        <w:t xml:space="preserve"> yet</w:t>
      </w:r>
      <w:r w:rsidRPr="001E54E8">
        <w:rPr>
          <w:rFonts w:cstheme="minorHAnsi"/>
          <w:b/>
          <w:szCs w:val="21"/>
          <w:lang w:eastAsia="x-none"/>
        </w:rPr>
        <w:t>.</w:t>
      </w:r>
      <w:r w:rsidR="00F7115E">
        <w:rPr>
          <w:rFonts w:cstheme="minorHAnsi"/>
          <w:b/>
          <w:szCs w:val="21"/>
          <w:lang w:eastAsia="x-none"/>
        </w:rPr>
        <w:t xml:space="preserve"> Also fine to wait for more progress in RAN1 to make the final conclusion in RAN4.</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4A69B871"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w:t>
      </w:r>
      <w:r w:rsidR="002C5DE4" w:rsidRPr="002C5DE4">
        <w:rPr>
          <w:szCs w:val="21"/>
        </w:rPr>
        <w:t>LTE SL and NR SL coexistence</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45493FA7" w14:textId="77777777" w:rsidR="002C5DE4" w:rsidRDefault="002C5DE4" w:rsidP="002C5DE4">
      <w:pPr>
        <w:spacing w:beforeLines="50" w:before="120" w:afterLines="50" w:after="120"/>
        <w:rPr>
          <w:rFonts w:cstheme="minorHAnsi"/>
          <w:b/>
          <w:szCs w:val="21"/>
        </w:rPr>
      </w:pPr>
      <w:r>
        <w:rPr>
          <w:rFonts w:cstheme="minorHAnsi"/>
          <w:b/>
          <w:szCs w:val="21"/>
        </w:rPr>
        <w:t xml:space="preserve">Proposal 1: </w:t>
      </w:r>
      <w:r w:rsidRPr="001C6046">
        <w:rPr>
          <w:rFonts w:cstheme="minorHAnsi"/>
          <w:b/>
          <w:szCs w:val="21"/>
        </w:rPr>
        <w:t xml:space="preserve">The existing RRM requirements are applicable for the co-channel coexistence solution of TDM-based </w:t>
      </w:r>
      <w:r w:rsidRPr="001C6046">
        <w:rPr>
          <w:rFonts w:cstheme="minorHAnsi"/>
          <w:b/>
          <w:szCs w:val="21"/>
        </w:rPr>
        <w:lastRenderedPageBreak/>
        <w:t>semi-static resource pool partitioning</w:t>
      </w:r>
    </w:p>
    <w:p w14:paraId="54185A33" w14:textId="113F4E61" w:rsidR="002C5DE4" w:rsidRPr="002C5DE4" w:rsidRDefault="002C5DE4" w:rsidP="00B00BDA">
      <w:pPr>
        <w:spacing w:beforeLines="50" w:before="120" w:afterLines="50" w:after="120"/>
        <w:rPr>
          <w:rFonts w:cstheme="minorHAnsi"/>
          <w:b/>
          <w:szCs w:val="21"/>
          <w:lang w:eastAsia="x-none"/>
        </w:rPr>
      </w:pPr>
      <w:r>
        <w:rPr>
          <w:rFonts w:cstheme="minorHAnsi"/>
          <w:b/>
          <w:szCs w:val="21"/>
          <w:lang w:eastAsia="x-none"/>
        </w:rPr>
        <w:t xml:space="preserve">Proposal 2: </w:t>
      </w:r>
      <w:r w:rsidRPr="00B00BDA">
        <w:rPr>
          <w:rFonts w:cstheme="minorHAnsi"/>
          <w:b/>
          <w:szCs w:val="21"/>
          <w:lang w:eastAsia="x-none"/>
        </w:rPr>
        <w:t>LTE SL and NR SL coexistence</w:t>
      </w:r>
      <w:r w:rsidRPr="00B00BDA">
        <w:rPr>
          <w:rFonts w:cstheme="minorHAnsi" w:hint="eastAsia"/>
          <w:b/>
          <w:szCs w:val="21"/>
          <w:lang w:eastAsia="x-none"/>
        </w:rPr>
        <w:t xml:space="preserve"> </w:t>
      </w:r>
      <w:r>
        <w:rPr>
          <w:rFonts w:cstheme="minorHAnsi"/>
          <w:b/>
          <w:szCs w:val="21"/>
          <w:lang w:eastAsia="x-none"/>
        </w:rPr>
        <w:t>has n</w:t>
      </w:r>
      <w:r w:rsidRPr="001E54E8">
        <w:rPr>
          <w:rFonts w:cstheme="minorHAnsi"/>
          <w:b/>
          <w:szCs w:val="21"/>
          <w:lang w:eastAsia="x-none"/>
        </w:rPr>
        <w:t>o impact on RRM</w:t>
      </w:r>
      <w:r>
        <w:rPr>
          <w:rFonts w:cstheme="minorHAnsi"/>
          <w:b/>
          <w:szCs w:val="21"/>
          <w:lang w:eastAsia="x-none"/>
        </w:rPr>
        <w:t xml:space="preserve"> core part</w:t>
      </w:r>
      <w:r w:rsidRPr="001E54E8">
        <w:rPr>
          <w:rFonts w:cstheme="minorHAnsi"/>
          <w:b/>
          <w:szCs w:val="21"/>
          <w:lang w:eastAsia="x-none"/>
        </w:rPr>
        <w:t xml:space="preserve"> requirements</w:t>
      </w:r>
      <w:r>
        <w:rPr>
          <w:rFonts w:cstheme="minorHAnsi"/>
          <w:b/>
          <w:szCs w:val="21"/>
          <w:lang w:eastAsia="x-none"/>
        </w:rPr>
        <w:t xml:space="preserve"> yet</w:t>
      </w:r>
      <w:r w:rsidRPr="001E54E8">
        <w:rPr>
          <w:rFonts w:cstheme="minorHAnsi"/>
          <w:b/>
          <w:szCs w:val="21"/>
          <w:lang w:eastAsia="x-none"/>
        </w:rPr>
        <w:t>.</w:t>
      </w:r>
      <w:r>
        <w:rPr>
          <w:rFonts w:cstheme="minorHAnsi"/>
          <w:b/>
          <w:szCs w:val="21"/>
          <w:lang w:eastAsia="x-none"/>
        </w:rPr>
        <w:t xml:space="preserve"> Also fine to wait for more progress in RAN1 to make the final conclusion in RAN4.</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6E8B2BED" w:rsidR="00D944D5" w:rsidRPr="002C5DE4" w:rsidRDefault="002C5DE4" w:rsidP="002C5DE4">
      <w:pPr>
        <w:pStyle w:val="af6"/>
        <w:numPr>
          <w:ilvl w:val="0"/>
          <w:numId w:val="21"/>
        </w:numPr>
        <w:ind w:right="72"/>
        <w:contextualSpacing w:val="0"/>
        <w:rPr>
          <w:rFonts w:ascii="Arial" w:hAnsi="Arial" w:cs="Arial"/>
          <w:sz w:val="20"/>
          <w:szCs w:val="21"/>
        </w:rPr>
      </w:pPr>
      <w:bookmarkStart w:id="2" w:name="_Ref53845332"/>
      <w:r w:rsidRPr="0087063A">
        <w:rPr>
          <w:rFonts w:ascii="Arial" w:hAnsi="Arial" w:cs="Arial"/>
          <w:sz w:val="20"/>
          <w:szCs w:val="21"/>
        </w:rPr>
        <w:t>R4-2306364</w:t>
      </w:r>
      <w:r w:rsidRPr="00FA2CA8">
        <w:rPr>
          <w:rFonts w:ascii="Arial" w:hAnsi="Arial" w:cs="Arial"/>
          <w:sz w:val="20"/>
          <w:szCs w:val="21"/>
        </w:rPr>
        <w:t xml:space="preserve">, </w:t>
      </w:r>
      <w:r w:rsidRPr="0087063A">
        <w:rPr>
          <w:rFonts w:ascii="Arial" w:hAnsi="Arial" w:cs="Arial"/>
          <w:sz w:val="20"/>
          <w:szCs w:val="21"/>
        </w:rPr>
        <w:t>WF on NR_SL_enh2_part2</w:t>
      </w:r>
      <w:r w:rsidRPr="00FA2CA8">
        <w:rPr>
          <w:rFonts w:ascii="Arial" w:hAnsi="Arial" w:cs="Arial"/>
          <w:sz w:val="20"/>
          <w:szCs w:val="21"/>
        </w:rPr>
        <w:t xml:space="preserve">, </w:t>
      </w:r>
      <w:r>
        <w:rPr>
          <w:rFonts w:ascii="Arial" w:hAnsi="Arial" w:cs="Arial"/>
          <w:sz w:val="20"/>
          <w:szCs w:val="21"/>
        </w:rPr>
        <w:t>OPPO</w:t>
      </w:r>
      <w:r w:rsidRPr="00FA2CA8">
        <w:rPr>
          <w:rFonts w:ascii="Arial" w:hAnsi="Arial" w:cs="Arial"/>
          <w:sz w:val="20"/>
          <w:szCs w:val="21"/>
        </w:rPr>
        <w:t>, RAN</w:t>
      </w:r>
      <w:r>
        <w:rPr>
          <w:rFonts w:ascii="Arial" w:hAnsi="Arial" w:cs="Arial"/>
          <w:sz w:val="20"/>
          <w:szCs w:val="21"/>
        </w:rPr>
        <w:t>4#106bis-e</w:t>
      </w:r>
      <w:r w:rsidRPr="00FA2CA8">
        <w:rPr>
          <w:rFonts w:ascii="Arial" w:hAnsi="Arial" w:cs="Arial"/>
          <w:sz w:val="20"/>
          <w:szCs w:val="21"/>
        </w:rPr>
        <w:t xml:space="preserve">, </w:t>
      </w:r>
      <w:r w:rsidRPr="005673C7">
        <w:rPr>
          <w:rFonts w:ascii="Arial" w:hAnsi="Arial" w:cs="Arial"/>
          <w:sz w:val="20"/>
          <w:szCs w:val="21"/>
        </w:rPr>
        <w:t>April 17 – April 26, 2023</w:t>
      </w:r>
      <w:r w:rsidRPr="00FA2CA8">
        <w:rPr>
          <w:rFonts w:ascii="Arial" w:hAnsi="Arial" w:cs="Arial"/>
          <w:sz w:val="20"/>
          <w:szCs w:val="21"/>
        </w:rPr>
        <w:t>.</w:t>
      </w:r>
      <w:bookmarkEnd w:id="2"/>
      <w:r w:rsidRPr="00FA2CA8">
        <w:rPr>
          <w:rFonts w:ascii="Arial" w:hAnsi="Arial" w:cs="Arial"/>
          <w:sz w:val="20"/>
          <w:szCs w:val="21"/>
        </w:rPr>
        <w:t xml:space="preserve"> </w:t>
      </w:r>
    </w:p>
    <w:sectPr w:rsidR="00D944D5" w:rsidRPr="002C5D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859EE" w14:textId="77777777" w:rsidR="006B1417" w:rsidRDefault="006B1417">
      <w:r>
        <w:separator/>
      </w:r>
    </w:p>
  </w:endnote>
  <w:endnote w:type="continuationSeparator" w:id="0">
    <w:p w14:paraId="02E315B1" w14:textId="77777777" w:rsidR="006B1417" w:rsidRDefault="006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AE193" w14:textId="77777777" w:rsidR="006B1417" w:rsidRDefault="006B1417">
      <w:r>
        <w:separator/>
      </w:r>
    </w:p>
  </w:footnote>
  <w:footnote w:type="continuationSeparator" w:id="0">
    <w:p w14:paraId="56CCED31" w14:textId="77777777" w:rsidR="006B1417" w:rsidRDefault="006B1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
  </w:num>
  <w:num w:numId="4">
    <w:abstractNumId w:val="1"/>
  </w:num>
  <w:num w:numId="5">
    <w:abstractNumId w:val="23"/>
  </w:num>
  <w:num w:numId="6">
    <w:abstractNumId w:val="20"/>
    <w:lvlOverride w:ilvl="0">
      <w:startOverride w:val="1"/>
    </w:lvlOverride>
  </w:num>
  <w:num w:numId="7">
    <w:abstractNumId w:val="19"/>
  </w:num>
  <w:num w:numId="8">
    <w:abstractNumId w:val="18"/>
  </w:num>
  <w:num w:numId="9">
    <w:abstractNumId w:val="16"/>
  </w:num>
  <w:num w:numId="10">
    <w:abstractNumId w:val="28"/>
  </w:num>
  <w:num w:numId="11">
    <w:abstractNumId w:val="7"/>
  </w:num>
  <w:num w:numId="12">
    <w:abstractNumId w:val="24"/>
  </w:num>
  <w:num w:numId="13">
    <w:abstractNumId w:val="21"/>
  </w:num>
  <w:num w:numId="14">
    <w:abstractNumId w:val="29"/>
  </w:num>
  <w:num w:numId="15">
    <w:abstractNumId w:val="22"/>
  </w:num>
  <w:num w:numId="16">
    <w:abstractNumId w:val="17"/>
  </w:num>
  <w:num w:numId="17">
    <w:abstractNumId w:val="31"/>
  </w:num>
  <w:num w:numId="18">
    <w:abstractNumId w:val="4"/>
  </w:num>
  <w:num w:numId="19">
    <w:abstractNumId w:val="8"/>
  </w:num>
  <w:num w:numId="20">
    <w:abstractNumId w:val="15"/>
  </w:num>
  <w:num w:numId="21">
    <w:abstractNumId w:val="26"/>
  </w:num>
  <w:num w:numId="22">
    <w:abstractNumId w:val="31"/>
  </w:num>
  <w:num w:numId="23">
    <w:abstractNumId w:val="3"/>
  </w:num>
  <w:num w:numId="24">
    <w:abstractNumId w:val="14"/>
  </w:num>
  <w:num w:numId="25">
    <w:abstractNumId w:val="6"/>
  </w:num>
  <w:num w:numId="26">
    <w:abstractNumId w:val="27"/>
  </w:num>
  <w:num w:numId="27">
    <w:abstractNumId w:val="10"/>
  </w:num>
  <w:num w:numId="28">
    <w:abstractNumId w:val="0"/>
  </w:num>
  <w:num w:numId="29">
    <w:abstractNumId w:val="11"/>
  </w:num>
  <w:num w:numId="30">
    <w:abstractNumId w:val="12"/>
  </w:num>
  <w:num w:numId="31">
    <w:abstractNumId w:val="9"/>
  </w:num>
  <w:num w:numId="32">
    <w:abstractNumId w:val="32"/>
  </w:num>
  <w:num w:numId="33">
    <w:abstractNumId w:val="5"/>
  </w:num>
  <w:num w:numId="3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B4"/>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99E"/>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7CF"/>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5DE4"/>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37C"/>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78A"/>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358"/>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3EAC"/>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94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65"/>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B1C"/>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41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1E5"/>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8B"/>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90A"/>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6EC"/>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16D"/>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7B4"/>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15E"/>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58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B158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B158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2023-05-15T04:22:00Z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